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04863" cy="80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Proxy Notice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 to be appointed as proxy (if you do not have a nominee, you may use Susan Torke, the charity’s secretary):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Details about votes can be found in the ‘Details for elections and re-elections’ document, which is attached. Should this be missing, please contact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secretary@bfs.org.uk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your vote:</w:t>
      </w:r>
    </w:p>
    <w:p w:rsidR="00000000" w:rsidDel="00000000" w:rsidP="00000000" w:rsidRDefault="00000000" w:rsidRPr="00000000" w14:paraId="00000010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Reappointments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Reappoint Gavin Stewart</w:t>
        <w:tab/>
        <w:tab/>
        <w:tab/>
        <w:t xml:space="preserve">For / Against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Reappoint Susan Torke</w:t>
        <w:tab/>
        <w:tab/>
        <w:tab/>
        <w:t xml:space="preserve">For / Against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Co-opted Trustees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Appoint Imogen Morrall </w:t>
        <w:tab/>
        <w:tab/>
        <w:tab/>
        <w:t xml:space="preserve">For / Against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Appoint Julie Maisel</w:t>
        <w:tab/>
        <w:tab/>
        <w:tab/>
        <w:tab/>
        <w:t xml:space="preserve">For / Against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Position of Chair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Appoint Gavin Stewart as interim chair</w:t>
        <w:tab/>
        <w:t xml:space="preserve">For / Against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wish to vote by email, and confirm that the information above is correct. I understand that by submitting this form, I will not be entitled to vote in any other format including in-person at the AGM.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